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AE7D8" w14:textId="77777777" w:rsidR="00AA5699" w:rsidRDefault="00000000">
      <w:pPr>
        <w:pStyle w:val="Heading1"/>
        <w:jc w:val="center"/>
        <w:rPr>
          <w:rFonts w:ascii="Times New Roman" w:eastAsia="Times New Roman" w:hAnsi="Times New Roman" w:cs="Times New Roman"/>
          <w:b/>
          <w:i w:val="0"/>
          <w:sz w:val="24"/>
          <w:u w:val="single"/>
        </w:rPr>
      </w:pPr>
      <w:r>
        <w:rPr>
          <w:rFonts w:ascii="Times New Roman" w:eastAsia="Times New Roman" w:hAnsi="Times New Roman" w:cs="Times New Roman"/>
          <w:b/>
          <w:i w:val="0"/>
          <w:sz w:val="24"/>
          <w:u w:val="single"/>
        </w:rPr>
        <w:t>Supplementary Sections for the Cover Sheet</w:t>
      </w:r>
    </w:p>
    <w:p w14:paraId="739D3224" w14:textId="77777777" w:rsidR="00AA5699" w:rsidRDefault="00AA5699">
      <w:pPr>
        <w:rPr>
          <w:color w:val="0070C0"/>
        </w:rPr>
      </w:pPr>
    </w:p>
    <w:p w14:paraId="709985C3" w14:textId="77777777" w:rsidR="00AA5699" w:rsidRDefault="00000000">
      <w:pPr>
        <w:rPr>
          <w:rFonts w:ascii="Times New Roman" w:eastAsia="Times New Roman" w:hAnsi="Times New Roman" w:cs="Times New Roman"/>
          <w:color w:val="0070C0"/>
        </w:rPr>
      </w:pPr>
      <w:r>
        <w:rPr>
          <w:rFonts w:ascii="Times New Roman" w:eastAsia="Times New Roman" w:hAnsi="Times New Roman" w:cs="Times New Roman"/>
          <w:color w:val="0070C0"/>
        </w:rPr>
        <w:t>The following sections are to be included in the cover sheet of nutrient management plans as necessary, based on the operation. Blue text provides guidance and should not be transferred to the cover sheet that will be delivered to the client.</w:t>
      </w:r>
    </w:p>
    <w:p w14:paraId="4CAD7F41" w14:textId="77777777" w:rsidR="00AA5699" w:rsidRDefault="00AA5699">
      <w:pPr>
        <w:rPr>
          <w:rFonts w:ascii="Times New Roman" w:eastAsia="Times New Roman" w:hAnsi="Times New Roman" w:cs="Times New Roman"/>
          <w:b/>
          <w:u w:val="single"/>
        </w:rPr>
      </w:pPr>
    </w:p>
    <w:p w14:paraId="36F7AC5E" w14:textId="77777777" w:rsidR="00AA5699" w:rsidRDefault="00000000">
      <w:pPr>
        <w:keepNext/>
        <w:keepLines/>
        <w:pBdr>
          <w:top w:val="nil"/>
          <w:left w:val="nil"/>
          <w:bottom w:val="nil"/>
          <w:right w:val="nil"/>
          <w:between w:val="nil"/>
        </w:pBdr>
        <w:spacing w:before="40"/>
        <w:rPr>
          <w:rFonts w:ascii="Times New Roman" w:eastAsia="Times New Roman" w:hAnsi="Times New Roman" w:cs="Times New Roman"/>
          <w:b/>
          <w:color w:val="0070C0"/>
        </w:rPr>
      </w:pPr>
      <w:r>
        <w:rPr>
          <w:rFonts w:ascii="Times New Roman" w:eastAsia="Times New Roman" w:hAnsi="Times New Roman" w:cs="Times New Roman"/>
          <w:b/>
          <w:color w:val="0070C0"/>
        </w:rPr>
        <w:t>When a plan is developed prior to wheat/barley planting, use the following statement:</w:t>
      </w:r>
    </w:p>
    <w:p w14:paraId="569C5E20" w14:textId="77777777" w:rsidR="00AA5699" w:rsidRDefault="00000000">
      <w:pPr>
        <w:rPr>
          <w:rFonts w:ascii="Times New Roman" w:eastAsia="Times New Roman" w:hAnsi="Times New Roman" w:cs="Times New Roman"/>
        </w:rPr>
      </w:pPr>
      <w:r>
        <w:rPr>
          <w:rFonts w:ascii="Times New Roman" w:eastAsia="Times New Roman" w:hAnsi="Times New Roman" w:cs="Times New Roman"/>
          <w:b/>
        </w:rPr>
        <w:t>FALL NITROGEN ON WHEAT AND BARLEY</w:t>
      </w:r>
      <w:r>
        <w:rPr>
          <w:rFonts w:ascii="Times New Roman" w:eastAsia="Times New Roman" w:hAnsi="Times New Roman" w:cs="Times New Roman"/>
        </w:rPr>
        <w:t xml:space="preserve">: Application of nitrogen in the fall on wheat and barley grown for grain production is based on the results of the Fall Soil Nitrate Test (FSNT). If the FSNT indicates an inadequate supply of nitrogen, a recommendation for fall nitrogen application will be made at the time of testing. Contact your nutrient management advisor if you are interested in this test.  </w:t>
      </w:r>
    </w:p>
    <w:p w14:paraId="47D3D282" w14:textId="77777777" w:rsidR="00AA5699" w:rsidRDefault="00AA5699">
      <w:pPr>
        <w:rPr>
          <w:rFonts w:ascii="Times New Roman" w:eastAsia="Times New Roman" w:hAnsi="Times New Roman" w:cs="Times New Roman"/>
        </w:rPr>
      </w:pPr>
    </w:p>
    <w:p w14:paraId="243F99BF" w14:textId="77777777" w:rsidR="00AA5699" w:rsidRDefault="00000000">
      <w:pPr>
        <w:keepNext/>
        <w:keepLines/>
        <w:pBdr>
          <w:top w:val="nil"/>
          <w:left w:val="nil"/>
          <w:bottom w:val="nil"/>
          <w:right w:val="nil"/>
          <w:between w:val="nil"/>
        </w:pBdr>
        <w:spacing w:before="40"/>
        <w:rPr>
          <w:rFonts w:ascii="Times New Roman" w:eastAsia="Times New Roman" w:hAnsi="Times New Roman" w:cs="Times New Roman"/>
          <w:b/>
          <w:color w:val="0070C0"/>
        </w:rPr>
      </w:pPr>
      <w:r>
        <w:rPr>
          <w:rFonts w:ascii="Times New Roman" w:eastAsia="Times New Roman" w:hAnsi="Times New Roman" w:cs="Times New Roman"/>
          <w:b/>
          <w:color w:val="0070C0"/>
        </w:rPr>
        <w:t>When a plan includes Christmas Trees, use the following:</w:t>
      </w:r>
    </w:p>
    <w:p w14:paraId="36FA0A08" w14:textId="77777777" w:rsidR="00AA5699" w:rsidRDefault="00000000">
      <w:pPr>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b/>
        </w:rPr>
        <w:t>NUTRIENT RECOMMENDATIONS FOR CHRISTMAS TREES</w:t>
      </w:r>
      <w:proofErr w:type="gramStart"/>
      <w:r>
        <w:rPr>
          <w:rFonts w:ascii="Times New Roman" w:eastAsia="Times New Roman" w:hAnsi="Times New Roman" w:cs="Times New Roman"/>
        </w:rPr>
        <w:t>:  Pre</w:t>
      </w:r>
      <w:proofErr w:type="gramEnd"/>
      <w:r>
        <w:rPr>
          <w:rFonts w:ascii="Times New Roman" w:eastAsia="Times New Roman" w:hAnsi="Times New Roman" w:cs="Times New Roman"/>
        </w:rPr>
        <w:t xml:space="preserve">-plant recommendations for Christmas trees are based on soil tests. Nutrient recommendations for established Christmas trees are based only on species and, in some cases, stage of growth and anticipated harvest season. See NM-2, </w:t>
      </w:r>
      <w:r>
        <w:rPr>
          <w:rFonts w:ascii="Times New Roman" w:eastAsia="Times New Roman" w:hAnsi="Times New Roman" w:cs="Times New Roman"/>
          <w:i/>
        </w:rPr>
        <w:t>Nutrient Recommendations for Commercial Christmas Tree Production</w:t>
      </w:r>
      <w:r>
        <w:rPr>
          <w:rFonts w:ascii="Times New Roman" w:eastAsia="Times New Roman" w:hAnsi="Times New Roman" w:cs="Times New Roman"/>
        </w:rPr>
        <w:t>, for complete information. A copy of this document is included in this plan.</w:t>
      </w:r>
    </w:p>
    <w:p w14:paraId="315F9FFC" w14:textId="77777777" w:rsidR="00AA5699" w:rsidRDefault="00AA5699">
      <w:pPr>
        <w:rPr>
          <w:rFonts w:ascii="Times New Roman" w:eastAsia="Times New Roman" w:hAnsi="Times New Roman" w:cs="Times New Roman"/>
        </w:rPr>
      </w:pPr>
    </w:p>
    <w:p w14:paraId="3C896089" w14:textId="77777777" w:rsidR="00AA5699" w:rsidRDefault="00000000">
      <w:pPr>
        <w:keepNext/>
        <w:keepLines/>
        <w:pBdr>
          <w:top w:val="nil"/>
          <w:left w:val="nil"/>
          <w:bottom w:val="nil"/>
          <w:right w:val="nil"/>
          <w:between w:val="nil"/>
        </w:pBdr>
        <w:spacing w:before="40"/>
        <w:rPr>
          <w:rFonts w:ascii="Times New Roman" w:eastAsia="Times New Roman" w:hAnsi="Times New Roman" w:cs="Times New Roman"/>
          <w:b/>
          <w:color w:val="0070C0"/>
        </w:rPr>
      </w:pPr>
      <w:r>
        <w:rPr>
          <w:rFonts w:ascii="Times New Roman" w:eastAsia="Times New Roman" w:hAnsi="Times New Roman" w:cs="Times New Roman"/>
          <w:b/>
          <w:color w:val="0070C0"/>
        </w:rPr>
        <w:t xml:space="preserve">When pasture yield goals were found for pastures on Web Soil Survey, include the following in the “Source of Yield Goal Information” section: </w:t>
      </w:r>
    </w:p>
    <w:p w14:paraId="7D494760" w14:textId="77777777" w:rsidR="00AA5699" w:rsidRDefault="00000000">
      <w:pPr>
        <w:rPr>
          <w:rFonts w:ascii="Times New Roman" w:eastAsia="Times New Roman" w:hAnsi="Times New Roman" w:cs="Times New Roman"/>
          <w:color w:val="0070C0"/>
        </w:rPr>
      </w:pPr>
      <w:r>
        <w:rPr>
          <w:rFonts w:ascii="Times New Roman" w:eastAsia="Times New Roman" w:hAnsi="Times New Roman" w:cs="Times New Roman"/>
        </w:rPr>
        <w:t xml:space="preserve">Yield goals for pastures were based on average productivity for forages for the dominant soil type in each pasture as published in Web Soil Survey.  </w:t>
      </w:r>
    </w:p>
    <w:p w14:paraId="7F442562" w14:textId="77777777" w:rsidR="00AA5699" w:rsidRDefault="00AA5699">
      <w:pPr>
        <w:rPr>
          <w:rFonts w:ascii="Times New Roman" w:eastAsia="Times New Roman" w:hAnsi="Times New Roman" w:cs="Times New Roman"/>
        </w:rPr>
      </w:pPr>
    </w:p>
    <w:p w14:paraId="745B1603" w14:textId="77777777" w:rsidR="00AA5699" w:rsidRDefault="00000000">
      <w:pPr>
        <w:keepNext/>
        <w:keepLines/>
        <w:pBdr>
          <w:top w:val="nil"/>
          <w:left w:val="nil"/>
          <w:bottom w:val="nil"/>
          <w:right w:val="nil"/>
          <w:between w:val="nil"/>
        </w:pBdr>
        <w:spacing w:before="40"/>
        <w:rPr>
          <w:rFonts w:ascii="Times New Roman" w:eastAsia="Times New Roman" w:hAnsi="Times New Roman" w:cs="Times New Roman"/>
          <w:b/>
          <w:color w:val="0070C0"/>
        </w:rPr>
      </w:pPr>
      <w:r>
        <w:rPr>
          <w:rFonts w:ascii="Times New Roman" w:eastAsia="Times New Roman" w:hAnsi="Times New Roman" w:cs="Times New Roman"/>
          <w:b/>
          <w:color w:val="0070C0"/>
        </w:rPr>
        <w:t xml:space="preserve">When a plan includes recommendations for organic fertilizer on food crops (i.e. crops sold at fresh market, such as tomatoes, peppers, squash, etc.) include the following: </w:t>
      </w:r>
    </w:p>
    <w:p w14:paraId="65686334" w14:textId="77777777" w:rsidR="00AA5699" w:rsidRDefault="00000000">
      <w:pPr>
        <w:rPr>
          <w:rFonts w:ascii="Times New Roman" w:eastAsia="Times New Roman" w:hAnsi="Times New Roman" w:cs="Times New Roman"/>
        </w:rPr>
      </w:pPr>
      <w:r>
        <w:rPr>
          <w:rFonts w:ascii="Times New Roman" w:eastAsia="Times New Roman" w:hAnsi="Times New Roman" w:cs="Times New Roman"/>
          <w:b/>
        </w:rPr>
        <w:t xml:space="preserve">FOOD SAFETY: </w:t>
      </w:r>
      <w:r>
        <w:rPr>
          <w:rFonts w:ascii="Times New Roman" w:eastAsia="Times New Roman" w:hAnsi="Times New Roman" w:cs="Times New Roman"/>
        </w:rPr>
        <w:t>Application of manure and other organic nutrient sources to crops consumed raw may pose a health hazard to consumers. Consult Soil Amendments Overview in the Food Safety section of this plan for management practices to comply with current food safety guidance.</w:t>
      </w:r>
    </w:p>
    <w:p w14:paraId="70B2B44E" w14:textId="77777777" w:rsidR="00AA5699" w:rsidRDefault="00AA5699">
      <w:pPr>
        <w:rPr>
          <w:rFonts w:ascii="Times New Roman" w:eastAsia="Times New Roman" w:hAnsi="Times New Roman" w:cs="Times New Roman"/>
        </w:rPr>
      </w:pPr>
    </w:p>
    <w:p w14:paraId="12BBFC31" w14:textId="77777777" w:rsidR="00AA5699" w:rsidRDefault="00000000">
      <w:pPr>
        <w:keepNext/>
        <w:keepLines/>
        <w:pBdr>
          <w:top w:val="nil"/>
          <w:left w:val="nil"/>
          <w:bottom w:val="nil"/>
          <w:right w:val="nil"/>
          <w:between w:val="nil"/>
        </w:pBdr>
        <w:spacing w:before="40"/>
        <w:rPr>
          <w:rFonts w:ascii="Times New Roman" w:eastAsia="Times New Roman" w:hAnsi="Times New Roman" w:cs="Times New Roman"/>
          <w:b/>
          <w:color w:val="0070C0"/>
        </w:rPr>
      </w:pPr>
      <w:r>
        <w:rPr>
          <w:rFonts w:ascii="Times New Roman" w:eastAsia="Times New Roman" w:hAnsi="Times New Roman" w:cs="Times New Roman"/>
          <w:b/>
          <w:color w:val="0070C0"/>
        </w:rPr>
        <w:t>When an operation has 20 or fewer animal units and a manure sample was provided for the 2018 plan, but we want to alert client manure analysis is not required in the future add the following to the “Manure Sampling and Testing” section:</w:t>
      </w:r>
    </w:p>
    <w:p w14:paraId="50C68DFC" w14:textId="77777777" w:rsidR="00AA5699" w:rsidRDefault="00000000">
      <w:pPr>
        <w:rPr>
          <w:rFonts w:ascii="Times New Roman" w:eastAsia="Times New Roman" w:hAnsi="Times New Roman" w:cs="Times New Roman"/>
        </w:rPr>
      </w:pPr>
      <w:r>
        <w:rPr>
          <w:rFonts w:ascii="Times New Roman" w:eastAsia="Times New Roman" w:hAnsi="Times New Roman" w:cs="Times New Roman"/>
          <w:b/>
        </w:rPr>
        <w:t>MANURE SAMPLING AND TESTING:</w:t>
      </w:r>
      <w:r>
        <w:rPr>
          <w:rFonts w:ascii="Times New Roman" w:eastAsia="Times New Roman" w:hAnsi="Times New Roman" w:cs="Times New Roman"/>
        </w:rPr>
        <w:t xml:space="preserve"> </w:t>
      </w:r>
      <w:r>
        <w:rPr>
          <w:rFonts w:ascii="Times New Roman" w:eastAsia="Times New Roman" w:hAnsi="Times New Roman" w:cs="Times New Roman"/>
          <w:color w:val="0070C0"/>
        </w:rPr>
        <w:t xml:space="preserve">Mr. Example </w:t>
      </w:r>
      <w:r>
        <w:rPr>
          <w:rFonts w:ascii="Times New Roman" w:eastAsia="Times New Roman" w:hAnsi="Times New Roman" w:cs="Times New Roman"/>
        </w:rPr>
        <w:t xml:space="preserve">took the manure samples. </w:t>
      </w:r>
      <w:r>
        <w:rPr>
          <w:rFonts w:ascii="Times New Roman" w:eastAsia="Times New Roman" w:hAnsi="Times New Roman" w:cs="Times New Roman"/>
          <w:color w:val="0070C0"/>
        </w:rPr>
        <w:t>(Name of soil testing lab)</w:t>
      </w:r>
      <w:r>
        <w:rPr>
          <w:rFonts w:ascii="Times New Roman" w:eastAsia="Times New Roman" w:hAnsi="Times New Roman" w:cs="Times New Roman"/>
        </w:rPr>
        <w:t xml:space="preserve"> analyzed the samples on </w:t>
      </w:r>
      <w:r>
        <w:rPr>
          <w:rFonts w:ascii="Times New Roman" w:eastAsia="Times New Roman" w:hAnsi="Times New Roman" w:cs="Times New Roman"/>
          <w:color w:val="0070C0"/>
        </w:rPr>
        <w:t>(date)</w:t>
      </w:r>
      <w:r>
        <w:rPr>
          <w:rFonts w:ascii="Times New Roman" w:eastAsia="Times New Roman" w:hAnsi="Times New Roman" w:cs="Times New Roman"/>
        </w:rPr>
        <w:t>. Because this operation has fewer than 20 animal units, average nutrient composition data may be used for plan development in the future in lieu of an actual manure analysis.</w:t>
      </w:r>
    </w:p>
    <w:p w14:paraId="6C41E080" w14:textId="77777777" w:rsidR="00AA5699" w:rsidRDefault="00000000">
      <w:pPr>
        <w:rPr>
          <w:rFonts w:ascii="Times New Roman" w:eastAsia="Times New Roman" w:hAnsi="Times New Roman" w:cs="Times New Roman"/>
          <w:b/>
          <w:color w:val="0070C0"/>
        </w:rPr>
      </w:pPr>
      <w:r>
        <w:rPr>
          <w:rFonts w:ascii="Times New Roman" w:eastAsia="Times New Roman" w:hAnsi="Times New Roman" w:cs="Times New Roman"/>
          <w:b/>
          <w:color w:val="0070C0"/>
        </w:rPr>
        <w:t xml:space="preserve">For use henceforth when average composition data were used for plan development: </w:t>
      </w:r>
    </w:p>
    <w:p w14:paraId="364E742E" w14:textId="77777777" w:rsidR="00AA5699" w:rsidRDefault="00000000">
      <w:pPr>
        <w:rPr>
          <w:rFonts w:ascii="Times New Roman" w:eastAsia="Times New Roman" w:hAnsi="Times New Roman" w:cs="Times New Roman"/>
        </w:rPr>
      </w:pPr>
      <w:r>
        <w:rPr>
          <w:rFonts w:ascii="Times New Roman" w:eastAsia="Times New Roman" w:hAnsi="Times New Roman" w:cs="Times New Roman"/>
          <w:b/>
        </w:rPr>
        <w:lastRenderedPageBreak/>
        <w:t>MANURE SAMPLING AND TESTING</w:t>
      </w:r>
      <w:proofErr w:type="gramStart"/>
      <w:r>
        <w:rPr>
          <w:rFonts w:ascii="Times New Roman" w:eastAsia="Times New Roman" w:hAnsi="Times New Roman" w:cs="Times New Roman"/>
          <w:b/>
        </w:rPr>
        <w:t xml:space="preserve">:  </w:t>
      </w:r>
      <w:r>
        <w:rPr>
          <w:rFonts w:ascii="Times New Roman" w:eastAsia="Times New Roman" w:hAnsi="Times New Roman" w:cs="Times New Roman"/>
        </w:rPr>
        <w:t>Because</w:t>
      </w:r>
      <w:proofErr w:type="gramEnd"/>
      <w:r>
        <w:rPr>
          <w:rFonts w:ascii="Times New Roman" w:eastAsia="Times New Roman" w:hAnsi="Times New Roman" w:cs="Times New Roman"/>
        </w:rPr>
        <w:t xml:space="preserve"> this operation has fewer than 20 animal units, average nutrient composition data were used for plan.</w:t>
      </w:r>
    </w:p>
    <w:p w14:paraId="7ACBCEEA" w14:textId="77777777" w:rsidR="00AA5699" w:rsidRDefault="00000000">
      <w:pPr>
        <w:keepNext/>
        <w:keepLines/>
        <w:pBdr>
          <w:top w:val="nil"/>
          <w:left w:val="nil"/>
          <w:bottom w:val="nil"/>
          <w:right w:val="nil"/>
          <w:between w:val="nil"/>
        </w:pBdr>
        <w:spacing w:before="40"/>
        <w:rPr>
          <w:rFonts w:ascii="Times New Roman" w:eastAsia="Times New Roman" w:hAnsi="Times New Roman" w:cs="Times New Roman"/>
          <w:b/>
          <w:color w:val="0070C0"/>
        </w:rPr>
      </w:pPr>
      <w:r>
        <w:rPr>
          <w:rFonts w:ascii="Times New Roman" w:eastAsia="Times New Roman" w:hAnsi="Times New Roman" w:cs="Times New Roman"/>
          <w:b/>
          <w:color w:val="0070C0"/>
        </w:rPr>
        <w:t>When insufficient manure is produced to cover an entire field, add the following sentence to the “Manure Management” section:</w:t>
      </w:r>
    </w:p>
    <w:p w14:paraId="77CDEEC6" w14:textId="77777777" w:rsidR="00AA5699" w:rsidRDefault="00000000">
      <w:r>
        <w:t>If there is insufficient manure to cover the entire field/pasture, manure applications in subsequent years should pick up where the previous application left off, with the goal of applying to the field uniformly over time.</w:t>
      </w:r>
    </w:p>
    <w:p w14:paraId="324E273A" w14:textId="77777777" w:rsidR="00AA5699" w:rsidRDefault="00AA5699">
      <w:pPr>
        <w:rPr>
          <w:rFonts w:ascii="Times New Roman" w:eastAsia="Times New Roman" w:hAnsi="Times New Roman" w:cs="Times New Roman"/>
          <w:b/>
          <w:color w:val="0070C0"/>
        </w:rPr>
      </w:pPr>
    </w:p>
    <w:p w14:paraId="7B43BB4D" w14:textId="77777777" w:rsidR="00AA5699" w:rsidRDefault="00000000">
      <w:pPr>
        <w:keepNext/>
        <w:keepLines/>
        <w:pBdr>
          <w:top w:val="nil"/>
          <w:left w:val="nil"/>
          <w:bottom w:val="nil"/>
          <w:right w:val="nil"/>
          <w:between w:val="nil"/>
        </w:pBdr>
        <w:spacing w:before="40"/>
        <w:rPr>
          <w:rFonts w:ascii="Times New Roman" w:eastAsia="Times New Roman" w:hAnsi="Times New Roman" w:cs="Times New Roman"/>
          <w:b/>
          <w:color w:val="0070C0"/>
        </w:rPr>
      </w:pPr>
      <w:r>
        <w:rPr>
          <w:rFonts w:ascii="Times New Roman" w:eastAsia="Times New Roman" w:hAnsi="Times New Roman" w:cs="Times New Roman"/>
          <w:b/>
          <w:color w:val="0070C0"/>
        </w:rPr>
        <w:t>When a plan is written that includes perennial fruit crops, include the following section about Tissue Testing:</w:t>
      </w:r>
    </w:p>
    <w:p w14:paraId="70757401" w14:textId="77777777" w:rsidR="00AA5699" w:rsidRDefault="00000000">
      <w:pPr>
        <w:rPr>
          <w:rFonts w:ascii="Times New Roman" w:eastAsia="Times New Roman" w:hAnsi="Times New Roman" w:cs="Times New Roman"/>
        </w:rPr>
      </w:pPr>
      <w:r>
        <w:rPr>
          <w:rFonts w:ascii="Times New Roman" w:eastAsia="Times New Roman" w:hAnsi="Times New Roman" w:cs="Times New Roman"/>
          <w:b/>
        </w:rPr>
        <w:t xml:space="preserve">TISSUE TESTING: </w:t>
      </w:r>
      <w:r>
        <w:rPr>
          <w:rFonts w:ascii="Times New Roman" w:eastAsia="Times New Roman" w:hAnsi="Times New Roman" w:cs="Times New Roman"/>
        </w:rPr>
        <w:t xml:space="preserve">Tissue analyses were collected by </w:t>
      </w:r>
      <w:r>
        <w:rPr>
          <w:rFonts w:ascii="Times New Roman" w:eastAsia="Times New Roman" w:hAnsi="Times New Roman" w:cs="Times New Roman"/>
          <w:color w:val="0070C0"/>
        </w:rPr>
        <w:t xml:space="preserve">Mr. Example </w:t>
      </w:r>
      <w:r>
        <w:rPr>
          <w:rFonts w:ascii="Times New Roman" w:eastAsia="Times New Roman" w:hAnsi="Times New Roman" w:cs="Times New Roman"/>
        </w:rPr>
        <w:t xml:space="preserve">and were analyzed by </w:t>
      </w:r>
      <w:r>
        <w:rPr>
          <w:rFonts w:ascii="Times New Roman" w:eastAsia="Times New Roman" w:hAnsi="Times New Roman" w:cs="Times New Roman"/>
          <w:color w:val="0070C0"/>
        </w:rPr>
        <w:t xml:space="preserve">(Name of soil testing lab) </w:t>
      </w:r>
      <w:r>
        <w:rPr>
          <w:rFonts w:ascii="Times New Roman" w:eastAsia="Times New Roman" w:hAnsi="Times New Roman" w:cs="Times New Roman"/>
        </w:rPr>
        <w:t>on</w:t>
      </w:r>
      <w:r>
        <w:rPr>
          <w:rFonts w:ascii="Times New Roman" w:eastAsia="Times New Roman" w:hAnsi="Times New Roman" w:cs="Times New Roman"/>
          <w:color w:val="0070C0"/>
        </w:rPr>
        <w:t xml:space="preserve"> (date). </w:t>
      </w:r>
      <w:r>
        <w:rPr>
          <w:rFonts w:ascii="Times New Roman" w:eastAsia="Times New Roman" w:hAnsi="Times New Roman" w:cs="Times New Roman"/>
        </w:rPr>
        <w:t xml:space="preserve">Tissue analyses are good for three years and coordination of tissue and soil analyses is strongly encouraged. </w:t>
      </w:r>
    </w:p>
    <w:p w14:paraId="64F02E17" w14:textId="77777777" w:rsidR="00AA5699" w:rsidRDefault="00AA5699">
      <w:pPr>
        <w:rPr>
          <w:rFonts w:ascii="Times New Roman" w:eastAsia="Times New Roman" w:hAnsi="Times New Roman" w:cs="Times New Roman"/>
        </w:rPr>
      </w:pPr>
    </w:p>
    <w:p w14:paraId="6D251F90" w14:textId="77777777" w:rsidR="00AA5699" w:rsidRDefault="00000000">
      <w:pPr>
        <w:rPr>
          <w:rFonts w:ascii="Times New Roman" w:eastAsia="Times New Roman" w:hAnsi="Times New Roman" w:cs="Times New Roman"/>
          <w:color w:val="0070C0"/>
        </w:rPr>
      </w:pPr>
      <w:r>
        <w:rPr>
          <w:rFonts w:ascii="Times New Roman" w:eastAsia="Times New Roman" w:hAnsi="Times New Roman" w:cs="Times New Roman"/>
          <w:color w:val="0070C0"/>
        </w:rPr>
        <w:t>Add the following table if multiple blocks/cultivars were tested:</w:t>
      </w:r>
    </w:p>
    <w:p w14:paraId="4438D724" w14:textId="77777777" w:rsidR="00AA5699" w:rsidRDefault="00000000">
      <w:pPr>
        <w:rPr>
          <w:rFonts w:ascii="Times New Roman" w:eastAsia="Times New Roman" w:hAnsi="Times New Roman" w:cs="Times New Roman"/>
        </w:rPr>
      </w:pPr>
      <w:r>
        <w:rPr>
          <w:rFonts w:ascii="Times New Roman" w:eastAsia="Times New Roman" w:hAnsi="Times New Roman" w:cs="Times New Roman"/>
        </w:rPr>
        <w:t>This table describes the tissue test dates by block and cultivar for this operation:</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AA5699" w14:paraId="2966C907" w14:textId="77777777">
        <w:tc>
          <w:tcPr>
            <w:tcW w:w="3116" w:type="dxa"/>
          </w:tcPr>
          <w:p w14:paraId="53A2556C" w14:textId="77777777" w:rsidR="00AA5699" w:rsidRDefault="00000000">
            <w:pPr>
              <w:rPr>
                <w:rFonts w:ascii="Times New Roman" w:eastAsia="Times New Roman" w:hAnsi="Times New Roman" w:cs="Times New Roman"/>
                <w:b/>
              </w:rPr>
            </w:pPr>
            <w:r>
              <w:rPr>
                <w:rFonts w:ascii="Times New Roman" w:eastAsia="Times New Roman" w:hAnsi="Times New Roman" w:cs="Times New Roman"/>
                <w:b/>
              </w:rPr>
              <w:t>Block</w:t>
            </w:r>
          </w:p>
        </w:tc>
        <w:tc>
          <w:tcPr>
            <w:tcW w:w="3117" w:type="dxa"/>
          </w:tcPr>
          <w:p w14:paraId="15B3E5CE" w14:textId="77777777" w:rsidR="00AA5699" w:rsidRDefault="00000000">
            <w:pPr>
              <w:rPr>
                <w:rFonts w:ascii="Times New Roman" w:eastAsia="Times New Roman" w:hAnsi="Times New Roman" w:cs="Times New Roman"/>
                <w:b/>
              </w:rPr>
            </w:pPr>
            <w:r>
              <w:rPr>
                <w:rFonts w:ascii="Times New Roman" w:eastAsia="Times New Roman" w:hAnsi="Times New Roman" w:cs="Times New Roman"/>
                <w:b/>
              </w:rPr>
              <w:t>Cultivar</w:t>
            </w:r>
          </w:p>
        </w:tc>
        <w:tc>
          <w:tcPr>
            <w:tcW w:w="3117" w:type="dxa"/>
          </w:tcPr>
          <w:p w14:paraId="3183D3F2" w14:textId="77777777" w:rsidR="00AA5699" w:rsidRDefault="00000000">
            <w:pPr>
              <w:rPr>
                <w:rFonts w:ascii="Times New Roman" w:eastAsia="Times New Roman" w:hAnsi="Times New Roman" w:cs="Times New Roman"/>
                <w:b/>
              </w:rPr>
            </w:pPr>
            <w:r>
              <w:rPr>
                <w:rFonts w:ascii="Times New Roman" w:eastAsia="Times New Roman" w:hAnsi="Times New Roman" w:cs="Times New Roman"/>
                <w:b/>
              </w:rPr>
              <w:t>Tissue Test Date</w:t>
            </w:r>
          </w:p>
        </w:tc>
      </w:tr>
      <w:tr w:rsidR="00AA5699" w14:paraId="50D48B4C" w14:textId="77777777">
        <w:tc>
          <w:tcPr>
            <w:tcW w:w="3116" w:type="dxa"/>
          </w:tcPr>
          <w:p w14:paraId="673ACA69" w14:textId="77777777" w:rsidR="00AA5699" w:rsidRDefault="00AA5699">
            <w:pPr>
              <w:rPr>
                <w:rFonts w:ascii="Times New Roman" w:eastAsia="Times New Roman" w:hAnsi="Times New Roman" w:cs="Times New Roman"/>
              </w:rPr>
            </w:pPr>
          </w:p>
        </w:tc>
        <w:tc>
          <w:tcPr>
            <w:tcW w:w="3117" w:type="dxa"/>
          </w:tcPr>
          <w:p w14:paraId="5574192D" w14:textId="77777777" w:rsidR="00AA5699" w:rsidRDefault="00AA5699">
            <w:pPr>
              <w:rPr>
                <w:rFonts w:ascii="Times New Roman" w:eastAsia="Times New Roman" w:hAnsi="Times New Roman" w:cs="Times New Roman"/>
              </w:rPr>
            </w:pPr>
          </w:p>
        </w:tc>
        <w:tc>
          <w:tcPr>
            <w:tcW w:w="3117" w:type="dxa"/>
          </w:tcPr>
          <w:p w14:paraId="61F6B6ED" w14:textId="77777777" w:rsidR="00AA5699" w:rsidRDefault="00AA5699">
            <w:pPr>
              <w:rPr>
                <w:rFonts w:ascii="Times New Roman" w:eastAsia="Times New Roman" w:hAnsi="Times New Roman" w:cs="Times New Roman"/>
              </w:rPr>
            </w:pPr>
          </w:p>
        </w:tc>
      </w:tr>
      <w:tr w:rsidR="00AA5699" w14:paraId="60778447" w14:textId="77777777">
        <w:tc>
          <w:tcPr>
            <w:tcW w:w="3116" w:type="dxa"/>
          </w:tcPr>
          <w:p w14:paraId="04F0BD5A" w14:textId="77777777" w:rsidR="00AA5699" w:rsidRDefault="00AA5699">
            <w:pPr>
              <w:rPr>
                <w:rFonts w:ascii="Times New Roman" w:eastAsia="Times New Roman" w:hAnsi="Times New Roman" w:cs="Times New Roman"/>
              </w:rPr>
            </w:pPr>
          </w:p>
        </w:tc>
        <w:tc>
          <w:tcPr>
            <w:tcW w:w="3117" w:type="dxa"/>
          </w:tcPr>
          <w:p w14:paraId="229CD7E6" w14:textId="77777777" w:rsidR="00AA5699" w:rsidRDefault="00AA5699">
            <w:pPr>
              <w:rPr>
                <w:rFonts w:ascii="Times New Roman" w:eastAsia="Times New Roman" w:hAnsi="Times New Roman" w:cs="Times New Roman"/>
              </w:rPr>
            </w:pPr>
          </w:p>
        </w:tc>
        <w:tc>
          <w:tcPr>
            <w:tcW w:w="3117" w:type="dxa"/>
          </w:tcPr>
          <w:p w14:paraId="761360DA" w14:textId="77777777" w:rsidR="00AA5699" w:rsidRDefault="00AA5699">
            <w:pPr>
              <w:rPr>
                <w:rFonts w:ascii="Times New Roman" w:eastAsia="Times New Roman" w:hAnsi="Times New Roman" w:cs="Times New Roman"/>
              </w:rPr>
            </w:pPr>
          </w:p>
        </w:tc>
      </w:tr>
      <w:tr w:rsidR="00AA5699" w14:paraId="35133AEB" w14:textId="77777777">
        <w:tc>
          <w:tcPr>
            <w:tcW w:w="3116" w:type="dxa"/>
          </w:tcPr>
          <w:p w14:paraId="641A8603" w14:textId="77777777" w:rsidR="00AA5699" w:rsidRDefault="00AA5699">
            <w:pPr>
              <w:rPr>
                <w:rFonts w:ascii="Times New Roman" w:eastAsia="Times New Roman" w:hAnsi="Times New Roman" w:cs="Times New Roman"/>
              </w:rPr>
            </w:pPr>
          </w:p>
        </w:tc>
        <w:tc>
          <w:tcPr>
            <w:tcW w:w="3117" w:type="dxa"/>
          </w:tcPr>
          <w:p w14:paraId="68940258" w14:textId="77777777" w:rsidR="00AA5699" w:rsidRDefault="00AA5699">
            <w:pPr>
              <w:rPr>
                <w:rFonts w:ascii="Times New Roman" w:eastAsia="Times New Roman" w:hAnsi="Times New Roman" w:cs="Times New Roman"/>
              </w:rPr>
            </w:pPr>
          </w:p>
        </w:tc>
        <w:tc>
          <w:tcPr>
            <w:tcW w:w="3117" w:type="dxa"/>
          </w:tcPr>
          <w:p w14:paraId="112AE155" w14:textId="77777777" w:rsidR="00AA5699" w:rsidRDefault="00AA5699">
            <w:pPr>
              <w:rPr>
                <w:rFonts w:ascii="Times New Roman" w:eastAsia="Times New Roman" w:hAnsi="Times New Roman" w:cs="Times New Roman"/>
              </w:rPr>
            </w:pPr>
          </w:p>
        </w:tc>
      </w:tr>
    </w:tbl>
    <w:p w14:paraId="3DC81653" w14:textId="77777777" w:rsidR="00AA5699" w:rsidRDefault="00AA5699">
      <w:pPr>
        <w:rPr>
          <w:rFonts w:ascii="Times New Roman" w:eastAsia="Times New Roman" w:hAnsi="Times New Roman" w:cs="Times New Roman"/>
        </w:rPr>
      </w:pPr>
    </w:p>
    <w:p w14:paraId="400D3689" w14:textId="77777777" w:rsidR="00AA5699" w:rsidRDefault="00000000">
      <w:pPr>
        <w:keepNext/>
        <w:keepLines/>
        <w:pBdr>
          <w:top w:val="nil"/>
          <w:left w:val="nil"/>
          <w:bottom w:val="nil"/>
          <w:right w:val="nil"/>
          <w:between w:val="nil"/>
        </w:pBdr>
        <w:spacing w:before="40"/>
        <w:rPr>
          <w:rFonts w:ascii="Times New Roman" w:eastAsia="Times New Roman" w:hAnsi="Times New Roman" w:cs="Times New Roman"/>
          <w:b/>
          <w:color w:val="0070C0"/>
        </w:rPr>
      </w:pPr>
      <w:r>
        <w:rPr>
          <w:rFonts w:ascii="Times New Roman" w:eastAsia="Times New Roman" w:hAnsi="Times New Roman" w:cs="Times New Roman"/>
          <w:b/>
          <w:color w:val="0070C0"/>
        </w:rPr>
        <w:t>When a farmer plans to apply an organic nutrient source to a fall-seeded crop for organic utilization, include the following section:</w:t>
      </w:r>
    </w:p>
    <w:p w14:paraId="55F1EB14" w14:textId="77777777" w:rsidR="00AA5699" w:rsidRDefault="00000000">
      <w:r>
        <w:rPr>
          <w:b/>
        </w:rPr>
        <w:t xml:space="preserve">FALL MANURE APPLICATION: </w:t>
      </w:r>
      <w:r>
        <w:t>Recommendations for fall manure application are included in this plan.  If manure is applied to any fields, a fall-seeded crop must be planted. For fields where manure recommendations have been made to fall cover crops, the maximum rate of manure that can be applied is a rate that provides 50lbs/PAN/ac.</w:t>
      </w:r>
    </w:p>
    <w:p w14:paraId="3CD438C8" w14:textId="77777777" w:rsidR="00AA5699" w:rsidRDefault="00AA5699"/>
    <w:p w14:paraId="34931451" w14:textId="77777777" w:rsidR="00AA5699" w:rsidRDefault="00000000">
      <w:pPr>
        <w:keepNext/>
        <w:keepLines/>
        <w:spacing w:before="40"/>
      </w:pPr>
      <w:r>
        <w:rPr>
          <w:rFonts w:ascii="Times New Roman" w:eastAsia="Times New Roman" w:hAnsi="Times New Roman" w:cs="Times New Roman"/>
          <w:b/>
          <w:color w:val="0070C0"/>
        </w:rPr>
        <w:t xml:space="preserve">For farmers who operate three or more tracts and grow agronomic crops, include the </w:t>
      </w:r>
      <w:proofErr w:type="gramStart"/>
      <w:r>
        <w:rPr>
          <w:rFonts w:ascii="Times New Roman" w:eastAsia="Times New Roman" w:hAnsi="Times New Roman" w:cs="Times New Roman"/>
          <w:b/>
          <w:color w:val="0070C0"/>
        </w:rPr>
        <w:t>follow</w:t>
      </w:r>
      <w:proofErr w:type="gramEnd"/>
      <w:r>
        <w:rPr>
          <w:rFonts w:ascii="Times New Roman" w:eastAsia="Times New Roman" w:hAnsi="Times New Roman" w:cs="Times New Roman"/>
          <w:b/>
          <w:color w:val="0070C0"/>
        </w:rPr>
        <w:t xml:space="preserve"> section along with </w:t>
      </w:r>
      <w:proofErr w:type="spellStart"/>
      <w:r>
        <w:rPr>
          <w:rFonts w:ascii="Times New Roman" w:eastAsia="Times New Roman" w:hAnsi="Times New Roman" w:cs="Times New Roman"/>
          <w:b/>
          <w:color w:val="0070C0"/>
        </w:rPr>
        <w:t>NuMan</w:t>
      </w:r>
      <w:proofErr w:type="spellEnd"/>
      <w:r>
        <w:rPr>
          <w:rFonts w:ascii="Times New Roman" w:eastAsia="Times New Roman" w:hAnsi="Times New Roman" w:cs="Times New Roman"/>
          <w:b/>
          <w:color w:val="0070C0"/>
        </w:rPr>
        <w:t xml:space="preserve"> Summary printouts:</w:t>
      </w:r>
    </w:p>
    <w:p w14:paraId="097F4218" w14:textId="77777777" w:rsidR="00AA5699" w:rsidRDefault="00000000">
      <w:pPr>
        <w:rPr>
          <w:rFonts w:ascii="Arial" w:eastAsia="Arial" w:hAnsi="Arial" w:cs="Arial"/>
          <w:color w:val="222222"/>
          <w:highlight w:val="white"/>
        </w:rPr>
      </w:pPr>
      <w:r>
        <w:rPr>
          <w:rFonts w:ascii="Times New Roman" w:eastAsia="Times New Roman" w:hAnsi="Times New Roman" w:cs="Times New Roman"/>
          <w:b/>
        </w:rPr>
        <w:t>SUMMARY OF RECOMMENDATIONS:</w:t>
      </w:r>
      <w:r>
        <w:rPr>
          <w:rFonts w:ascii="Times New Roman" w:eastAsia="Times New Roman" w:hAnsi="Times New Roman" w:cs="Times New Roman"/>
        </w:rPr>
        <w:t xml:space="preserve"> The Maryland Department of Agriculture states “Any soil test FIV’s for phosphorus or potassium with the same rating (example: low, medium, optimum) can be managed at one rate. The rate should not exceed the highest recommended rate given in your nutrient management plan for that crop in that soil test range.”  The following summaries are provided</w:t>
      </w:r>
      <w:proofErr w:type="gramStart"/>
      <w:r>
        <w:rPr>
          <w:rFonts w:ascii="Times New Roman" w:eastAsia="Times New Roman" w:hAnsi="Times New Roman" w:cs="Times New Roman"/>
        </w:rPr>
        <w:t>:  Lime</w:t>
      </w:r>
      <w:proofErr w:type="gramEnd"/>
      <w:r>
        <w:rPr>
          <w:rFonts w:ascii="Times New Roman" w:eastAsia="Times New Roman" w:hAnsi="Times New Roman" w:cs="Times New Roman"/>
        </w:rPr>
        <w:t>, High Magnesium Lime\Magnesium, P</w:t>
      </w:r>
      <w:r>
        <w:rPr>
          <w:rFonts w:ascii="Times New Roman" w:eastAsia="Times New Roman" w:hAnsi="Times New Roman" w:cs="Times New Roman"/>
          <w:vertAlign w:val="subscript"/>
        </w:rPr>
        <w:t>2</w:t>
      </w:r>
      <w:r>
        <w:rPr>
          <w:rFonts w:ascii="Times New Roman" w:eastAsia="Times New Roman" w:hAnsi="Times New Roman" w:cs="Times New Roman"/>
        </w:rPr>
        <w:t>O</w:t>
      </w:r>
      <w:r>
        <w:rPr>
          <w:rFonts w:ascii="Times New Roman" w:eastAsia="Times New Roman" w:hAnsi="Times New Roman" w:cs="Times New Roman"/>
          <w:vertAlign w:val="subscript"/>
        </w:rPr>
        <w:t>5</w:t>
      </w:r>
      <w:r>
        <w:rPr>
          <w:rFonts w:ascii="Times New Roman" w:eastAsia="Times New Roman" w:hAnsi="Times New Roman" w:cs="Times New Roman"/>
        </w:rPr>
        <w:t xml:space="preserve"> and K</w:t>
      </w:r>
      <w:r>
        <w:rPr>
          <w:rFonts w:ascii="Times New Roman" w:eastAsia="Times New Roman" w:hAnsi="Times New Roman" w:cs="Times New Roman"/>
          <w:vertAlign w:val="subscript"/>
        </w:rPr>
        <w:t>2</w:t>
      </w:r>
      <w:r>
        <w:rPr>
          <w:rFonts w:ascii="Times New Roman" w:eastAsia="Times New Roman" w:hAnsi="Times New Roman" w:cs="Times New Roman"/>
        </w:rPr>
        <w:t>O.</w:t>
      </w:r>
      <w:r>
        <w:rPr>
          <w:rFonts w:ascii="Arial" w:eastAsia="Arial" w:hAnsi="Arial" w:cs="Arial"/>
          <w:color w:val="222222"/>
          <w:highlight w:val="white"/>
        </w:rPr>
        <w:t xml:space="preserve"> </w:t>
      </w:r>
      <w:r>
        <w:rPr>
          <w:rFonts w:ascii="Times New Roman" w:eastAsia="Times New Roman" w:hAnsi="Times New Roman" w:cs="Times New Roman"/>
          <w:b/>
          <w:color w:val="222222"/>
          <w:highlight w:val="white"/>
        </w:rPr>
        <w:t xml:space="preserve">Note: Recommendations do </w:t>
      </w:r>
      <w:proofErr w:type="gramStart"/>
      <w:r>
        <w:rPr>
          <w:rFonts w:ascii="Times New Roman" w:eastAsia="Times New Roman" w:hAnsi="Times New Roman" w:cs="Times New Roman"/>
          <w:b/>
          <w:color w:val="222222"/>
          <w:highlight w:val="white"/>
        </w:rPr>
        <w:t>take into account</w:t>
      </w:r>
      <w:proofErr w:type="gramEnd"/>
      <w:r>
        <w:rPr>
          <w:rFonts w:ascii="Times New Roman" w:eastAsia="Times New Roman" w:hAnsi="Times New Roman" w:cs="Times New Roman"/>
          <w:b/>
          <w:color w:val="222222"/>
          <w:highlight w:val="white"/>
        </w:rPr>
        <w:t xml:space="preserve"> nutrients applied through the use of animal manures.</w:t>
      </w:r>
    </w:p>
    <w:p w14:paraId="72173DF3" w14:textId="77777777" w:rsidR="00AA5699" w:rsidRDefault="00AA5699">
      <w:pPr>
        <w:rPr>
          <w:rFonts w:ascii="Arial" w:eastAsia="Arial" w:hAnsi="Arial" w:cs="Arial"/>
          <w:color w:val="222222"/>
          <w:highlight w:val="white"/>
        </w:rPr>
      </w:pPr>
    </w:p>
    <w:p w14:paraId="00B08C11" w14:textId="77777777" w:rsidR="00AA5699" w:rsidRDefault="00000000">
      <w:pPr>
        <w:rPr>
          <w:rFonts w:ascii="Times New Roman" w:eastAsia="Times New Roman" w:hAnsi="Times New Roman" w:cs="Times New Roman"/>
          <w:color w:val="222222"/>
          <w:highlight w:val="white"/>
        </w:rPr>
      </w:pPr>
      <w:r>
        <w:rPr>
          <w:rFonts w:ascii="Times New Roman" w:eastAsia="Times New Roman" w:hAnsi="Times New Roman" w:cs="Times New Roman"/>
          <w:b/>
          <w:color w:val="222222"/>
          <w:highlight w:val="white"/>
        </w:rPr>
        <w:t>Lime Summary</w:t>
      </w:r>
      <w:r>
        <w:rPr>
          <w:rFonts w:ascii="Times New Roman" w:eastAsia="Times New Roman" w:hAnsi="Times New Roman" w:cs="Times New Roman"/>
          <w:color w:val="222222"/>
          <w:highlight w:val="white"/>
        </w:rPr>
        <w:t xml:space="preserve">: Prints the fields in </w:t>
      </w:r>
      <w:proofErr w:type="spellStart"/>
      <w:r>
        <w:rPr>
          <w:rFonts w:ascii="Times New Roman" w:eastAsia="Times New Roman" w:hAnsi="Times New Roman" w:cs="Times New Roman"/>
          <w:color w:val="222222"/>
          <w:highlight w:val="white"/>
        </w:rPr>
        <w:t>NuMan</w:t>
      </w:r>
      <w:proofErr w:type="spellEnd"/>
      <w:r>
        <w:rPr>
          <w:rFonts w:ascii="Times New Roman" w:eastAsia="Times New Roman" w:hAnsi="Times New Roman" w:cs="Times New Roman"/>
          <w:color w:val="222222"/>
          <w:highlight w:val="white"/>
        </w:rPr>
        <w:t xml:space="preserve"> that received Lime recommendations, sorted from the lowest to highest lime recommendation rate in T/A. You will be able to group fields based on similar lime recommendations, applying the lowest rate within the group.</w:t>
      </w:r>
    </w:p>
    <w:p w14:paraId="0FFA1429" w14:textId="77777777" w:rsidR="00AA5699" w:rsidRDefault="00AA5699">
      <w:pPr>
        <w:rPr>
          <w:rFonts w:ascii="Times New Roman" w:eastAsia="Times New Roman" w:hAnsi="Times New Roman" w:cs="Times New Roman"/>
          <w:color w:val="222222"/>
          <w:highlight w:val="white"/>
        </w:rPr>
      </w:pPr>
    </w:p>
    <w:p w14:paraId="07E43447" w14:textId="77777777" w:rsidR="00AA5699" w:rsidRDefault="00000000">
      <w:pPr>
        <w:rPr>
          <w:rFonts w:ascii="Times New Roman" w:eastAsia="Times New Roman" w:hAnsi="Times New Roman" w:cs="Times New Roman"/>
        </w:rPr>
      </w:pPr>
      <w:r>
        <w:rPr>
          <w:rFonts w:ascii="Times New Roman" w:eastAsia="Times New Roman" w:hAnsi="Times New Roman" w:cs="Times New Roman"/>
          <w:b/>
        </w:rPr>
        <w:t>Mg Summary</w:t>
      </w:r>
      <w:r>
        <w:rPr>
          <w:rFonts w:ascii="Times New Roman" w:eastAsia="Times New Roman" w:hAnsi="Times New Roman" w:cs="Times New Roman"/>
        </w:rPr>
        <w:t xml:space="preserve">: Prints only fields with a Mg-FIV within the low category, as these are the only fields that receive Mg recommendations in FIVs of 14 or higher receive a recommendation of 15 </w:t>
      </w:r>
      <w:proofErr w:type="spellStart"/>
      <w:r>
        <w:rPr>
          <w:rFonts w:ascii="Times New Roman" w:eastAsia="Times New Roman" w:hAnsi="Times New Roman" w:cs="Times New Roman"/>
        </w:rPr>
        <w:t>lbs</w:t>
      </w:r>
      <w:proofErr w:type="spellEnd"/>
      <w:r>
        <w:rPr>
          <w:rFonts w:ascii="Times New Roman" w:eastAsia="Times New Roman" w:hAnsi="Times New Roman" w:cs="Times New Roman"/>
        </w:rPr>
        <w:t xml:space="preserve"> Mg/A, and fields below 14 receive a recommendation of 30 </w:t>
      </w:r>
      <w:proofErr w:type="spellStart"/>
      <w:r>
        <w:rPr>
          <w:rFonts w:ascii="Times New Roman" w:eastAsia="Times New Roman" w:hAnsi="Times New Roman" w:cs="Times New Roman"/>
        </w:rPr>
        <w:t>lbs</w:t>
      </w:r>
      <w:proofErr w:type="spellEnd"/>
      <w:r>
        <w:rPr>
          <w:rFonts w:ascii="Times New Roman" w:eastAsia="Times New Roman" w:hAnsi="Times New Roman" w:cs="Times New Roman"/>
        </w:rPr>
        <w:t xml:space="preserve"> Mg/A. </w:t>
      </w:r>
    </w:p>
    <w:p w14:paraId="58B63C6E" w14:textId="77777777" w:rsidR="00AA5699" w:rsidRDefault="00000000">
      <w:pPr>
        <w:rPr>
          <w:rFonts w:ascii="Times New Roman" w:eastAsia="Times New Roman" w:hAnsi="Times New Roman" w:cs="Times New Roman"/>
        </w:rPr>
      </w:pPr>
      <w:r>
        <w:rPr>
          <w:rFonts w:ascii="Times New Roman" w:eastAsia="Times New Roman" w:hAnsi="Times New Roman" w:cs="Times New Roman"/>
        </w:rPr>
        <w:lastRenderedPageBreak/>
        <w:t xml:space="preserve">The lime recommendations are also included, since the usual recommendation for Mg is to apply Dolomitic (High Mag) lime. Therefore, for the fields on this report where lime is recommended, the Mg should be supplied by the Dolomitic lime. For this reason, the fields </w:t>
      </w:r>
      <w:proofErr w:type="gramStart"/>
      <w:r>
        <w:rPr>
          <w:rFonts w:ascii="Times New Roman" w:eastAsia="Times New Roman" w:hAnsi="Times New Roman" w:cs="Times New Roman"/>
        </w:rPr>
        <w:t>on</w:t>
      </w:r>
      <w:proofErr w:type="gramEnd"/>
      <w:r>
        <w:rPr>
          <w:rFonts w:ascii="Times New Roman" w:eastAsia="Times New Roman" w:hAnsi="Times New Roman" w:cs="Times New Roman"/>
        </w:rPr>
        <w:t xml:space="preserve"> this report are also sorted by the lime recommendations, since they will be much more common than Mg fertilizer recommendations. You will be able to group the fields in the same way as on the Lime summary. </w:t>
      </w:r>
    </w:p>
    <w:p w14:paraId="623925BB" w14:textId="77777777" w:rsidR="00AA5699" w:rsidRDefault="00AA5699">
      <w:pPr>
        <w:rPr>
          <w:rFonts w:ascii="Times New Roman" w:eastAsia="Times New Roman" w:hAnsi="Times New Roman" w:cs="Times New Roman"/>
          <w:color w:val="222222"/>
          <w:highlight w:val="white"/>
        </w:rPr>
      </w:pPr>
    </w:p>
    <w:p w14:paraId="45697051" w14:textId="77777777" w:rsidR="00AA5699" w:rsidRDefault="00000000">
      <w:pPr>
        <w:rPr>
          <w:rFonts w:ascii="Times New Roman" w:eastAsia="Times New Roman" w:hAnsi="Times New Roman" w:cs="Times New Roman"/>
        </w:rPr>
      </w:pPr>
      <w:r>
        <w:rPr>
          <w:rFonts w:ascii="Times New Roman" w:eastAsia="Times New Roman" w:hAnsi="Times New Roman" w:cs="Times New Roman"/>
          <w:b/>
          <w:color w:val="222222"/>
          <w:highlight w:val="white"/>
        </w:rPr>
        <w:t>P</w:t>
      </w:r>
      <w:r>
        <w:rPr>
          <w:rFonts w:ascii="Times New Roman" w:eastAsia="Times New Roman" w:hAnsi="Times New Roman" w:cs="Times New Roman"/>
          <w:b/>
          <w:color w:val="222222"/>
          <w:highlight w:val="white"/>
          <w:vertAlign w:val="subscript"/>
        </w:rPr>
        <w:t>2</w:t>
      </w:r>
      <w:r>
        <w:rPr>
          <w:rFonts w:ascii="Times New Roman" w:eastAsia="Times New Roman" w:hAnsi="Times New Roman" w:cs="Times New Roman"/>
          <w:b/>
          <w:color w:val="222222"/>
          <w:highlight w:val="white"/>
        </w:rPr>
        <w:t>O</w:t>
      </w:r>
      <w:r>
        <w:rPr>
          <w:rFonts w:ascii="Times New Roman" w:eastAsia="Times New Roman" w:hAnsi="Times New Roman" w:cs="Times New Roman"/>
          <w:b/>
          <w:color w:val="222222"/>
          <w:highlight w:val="white"/>
          <w:vertAlign w:val="subscript"/>
        </w:rPr>
        <w:t>5</w:t>
      </w:r>
      <w:r>
        <w:rPr>
          <w:rFonts w:ascii="Times New Roman" w:eastAsia="Times New Roman" w:hAnsi="Times New Roman" w:cs="Times New Roman"/>
          <w:b/>
          <w:color w:val="222222"/>
          <w:highlight w:val="white"/>
        </w:rPr>
        <w:t xml:space="preserve"> &amp; K</w:t>
      </w:r>
      <w:r>
        <w:rPr>
          <w:rFonts w:ascii="Times New Roman" w:eastAsia="Times New Roman" w:hAnsi="Times New Roman" w:cs="Times New Roman"/>
          <w:b/>
          <w:color w:val="222222"/>
          <w:highlight w:val="white"/>
          <w:vertAlign w:val="subscript"/>
        </w:rPr>
        <w:t>2</w:t>
      </w:r>
      <w:r>
        <w:rPr>
          <w:rFonts w:ascii="Times New Roman" w:eastAsia="Times New Roman" w:hAnsi="Times New Roman" w:cs="Times New Roman"/>
          <w:b/>
          <w:color w:val="222222"/>
          <w:highlight w:val="white"/>
        </w:rPr>
        <w:t>O Summaries</w:t>
      </w:r>
      <w:r>
        <w:rPr>
          <w:rFonts w:ascii="Times New Roman" w:eastAsia="Times New Roman" w:hAnsi="Times New Roman" w:cs="Times New Roman"/>
          <w:color w:val="222222"/>
          <w:highlight w:val="white"/>
        </w:rPr>
        <w:t>: group and print the fields by crop and FIV rating. The summary table at the bottom of the fields for a given crop gives the min, max, and average recommendation rates within each FIV range, and the total fertilizer needed for those fields.</w:t>
      </w:r>
      <w:r>
        <w:rPr>
          <w:rFonts w:ascii="Times New Roman" w:eastAsia="Times New Roman" w:hAnsi="Times New Roman" w:cs="Times New Roman"/>
        </w:rPr>
        <w:t> </w:t>
      </w:r>
    </w:p>
    <w:p w14:paraId="7906B727" w14:textId="77777777" w:rsidR="00AA5699" w:rsidRDefault="00AA5699">
      <w:pPr>
        <w:rPr>
          <w:rFonts w:ascii="Times New Roman" w:eastAsia="Times New Roman" w:hAnsi="Times New Roman" w:cs="Times New Roman"/>
        </w:rPr>
      </w:pPr>
    </w:p>
    <w:p w14:paraId="11AD4A4F" w14:textId="77777777" w:rsidR="00AA5699" w:rsidRDefault="00000000">
      <w:r>
        <w:rPr>
          <w:rFonts w:ascii="Times New Roman" w:eastAsia="Times New Roman" w:hAnsi="Times New Roman" w:cs="Times New Roman"/>
        </w:rPr>
        <w:t>See further clarification under the “Regulations” section of this plan.</w:t>
      </w:r>
    </w:p>
    <w:sectPr w:rsidR="00AA5699">
      <w:footerReference w:type="default" r:id="rId7"/>
      <w:headerReference w:type="first" r:id="rId8"/>
      <w:footerReference w:type="first" r:id="rId9"/>
      <w:pgSz w:w="12240" w:h="15840"/>
      <w:pgMar w:top="1440" w:right="1440" w:bottom="1440" w:left="1440" w:header="99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364FD" w14:textId="77777777" w:rsidR="00FC640B" w:rsidRDefault="00FC640B">
      <w:r>
        <w:separator/>
      </w:r>
    </w:p>
  </w:endnote>
  <w:endnote w:type="continuationSeparator" w:id="0">
    <w:p w14:paraId="493FFAD4" w14:textId="77777777" w:rsidR="00FC640B" w:rsidRDefault="00FC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0000000000000000000"/>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83102" w14:textId="77777777" w:rsidR="00AA5699" w:rsidRDefault="00AA5699">
    <w:pPr>
      <w:pBdr>
        <w:top w:val="nil"/>
        <w:left w:val="nil"/>
        <w:bottom w:val="nil"/>
        <w:right w:val="nil"/>
        <w:between w:val="nil"/>
      </w:pBdr>
      <w:tabs>
        <w:tab w:val="center" w:pos="4320"/>
        <w:tab w:val="right" w:pos="8640"/>
      </w:tabs>
      <w:jc w:val="center"/>
      <w:rPr>
        <w:rFonts w:ascii="Times New Roman" w:eastAsia="Times New Roman" w:hAnsi="Times New Roman" w:cs="Times New Roman"/>
        <w:color w:val="000000"/>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50648" w14:textId="77777777" w:rsidR="00AA5699" w:rsidRDefault="00000000">
    <w:pPr>
      <w:pBdr>
        <w:top w:val="nil"/>
        <w:left w:val="nil"/>
        <w:bottom w:val="nil"/>
        <w:right w:val="nil"/>
        <w:between w:val="nil"/>
      </w:pBdr>
      <w:tabs>
        <w:tab w:val="center" w:pos="4320"/>
        <w:tab w:val="right" w:pos="8640"/>
      </w:tabs>
      <w:rPr>
        <w:color w:val="000000"/>
      </w:rPr>
    </w:pPr>
    <w:r>
      <w:rPr>
        <w:noProof/>
      </w:rPr>
      <mc:AlternateContent>
        <mc:Choice Requires="wps">
          <w:drawing>
            <wp:anchor distT="0" distB="0" distL="114300" distR="114300" simplePos="0" relativeHeight="251660288" behindDoc="0" locked="0" layoutInCell="1" hidden="0" allowOverlap="1" wp14:anchorId="7D642A21" wp14:editId="06B12FC6">
              <wp:simplePos x="0" y="0"/>
              <wp:positionH relativeFrom="column">
                <wp:posOffset>1</wp:posOffset>
              </wp:positionH>
              <wp:positionV relativeFrom="paragraph">
                <wp:posOffset>50800</wp:posOffset>
              </wp:positionV>
              <wp:extent cx="6534150" cy="247650"/>
              <wp:effectExtent l="0" t="0" r="0" b="0"/>
              <wp:wrapNone/>
              <wp:docPr id="10" name="Rectangle 10"/>
              <wp:cNvGraphicFramePr/>
              <a:graphic xmlns:a="http://schemas.openxmlformats.org/drawingml/2006/main">
                <a:graphicData uri="http://schemas.microsoft.com/office/word/2010/wordprocessingShape">
                  <wps:wsp>
                    <wps:cNvSpPr/>
                    <wps:spPr>
                      <a:xfrm>
                        <a:off x="2088450" y="3665700"/>
                        <a:ext cx="6515100" cy="228600"/>
                      </a:xfrm>
                      <a:prstGeom prst="rect">
                        <a:avLst/>
                      </a:prstGeom>
                      <a:noFill/>
                      <a:ln>
                        <a:noFill/>
                      </a:ln>
                    </wps:spPr>
                    <wps:txbx>
                      <w:txbxContent>
                        <w:p w14:paraId="0E619C56" w14:textId="77777777" w:rsidR="00AA5699" w:rsidRDefault="00000000">
                          <w:pPr>
                            <w:jc w:val="center"/>
                            <w:textDirection w:val="btLr"/>
                          </w:pPr>
                          <w:r>
                            <w:rPr>
                              <w:color w:val="000000"/>
                              <w:sz w:val="12"/>
                            </w:rPr>
                            <w:t>The University of Maryland Extension programs are open to all and will not discriminate against anyone because of race, age, sex, color, sexual orientation, physical or mental disability, religion, ancestry, or natural origin, marital status, genetic information, political affiliation, or gender identity and expression.</w:t>
                          </w:r>
                        </w:p>
                        <w:p w14:paraId="51B752FA" w14:textId="77777777" w:rsidR="00AA5699" w:rsidRDefault="00AA5699">
                          <w:pPr>
                            <w:jc w:val="center"/>
                            <w:textDirection w:val="btLr"/>
                          </w:pPr>
                        </w:p>
                        <w:p w14:paraId="00F72275" w14:textId="77777777" w:rsidR="00AA5699" w:rsidRDefault="00AA5699">
                          <w:pPr>
                            <w:textDirection w:val="btLr"/>
                          </w:pPr>
                        </w:p>
                      </w:txbxContent>
                    </wps:txbx>
                    <wps:bodyPr spcFirstLastPara="1" wrap="square" lIns="0" tIns="0" rIns="0" bIns="0" anchor="t" anchorCtr="0">
                      <a:noAutofit/>
                    </wps:bodyPr>
                  </wps:wsp>
                </a:graphicData>
              </a:graphic>
            </wp:anchor>
          </w:drawing>
        </mc:Choice>
        <mc:Fallback>
          <w:pict>
            <v:rect w14:anchorId="7D642A21" id="Rectangle 10" o:spid="_x0000_s1027" style="position:absolute;margin-left:0;margin-top:4pt;width:514.5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" filled="f" stroked="f">
              <v:textbox inset="0,0,0,0">
                <w:txbxContent>
                  <w:p w14:paraId="0E619C56" w14:textId="77777777" w:rsidR="00AA5699" w:rsidRDefault="00000000">
                    <w:pPr>
                      <w:jc w:val="center"/>
                      <w:textDirection w:val="btLr"/>
                    </w:pPr>
                    <w:r>
                      <w:rPr>
                        <w:color w:val="000000"/>
                        <w:sz w:val="12"/>
                      </w:rPr>
                      <w:t>The University of Maryland Extension programs are open to all and will not discriminate against anyone because of race, age, sex, color, sexual orientation, physical or mental disability, religion, ancestry, or natural origin, marital status, genetic information, political affiliation, or gender identity and expression.</w:t>
                    </w:r>
                  </w:p>
                  <w:p w14:paraId="51B752FA" w14:textId="77777777" w:rsidR="00AA5699" w:rsidRDefault="00AA5699">
                    <w:pPr>
                      <w:jc w:val="center"/>
                      <w:textDirection w:val="btLr"/>
                    </w:pPr>
                  </w:p>
                  <w:p w14:paraId="00F72275" w14:textId="77777777" w:rsidR="00AA5699" w:rsidRDefault="00AA5699">
                    <w:pP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AE76D" w14:textId="77777777" w:rsidR="00FC640B" w:rsidRDefault="00FC640B">
      <w:r>
        <w:separator/>
      </w:r>
    </w:p>
  </w:footnote>
  <w:footnote w:type="continuationSeparator" w:id="0">
    <w:p w14:paraId="3D8A71DD" w14:textId="77777777" w:rsidR="00FC640B" w:rsidRDefault="00FC6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A7E66" w14:textId="77777777" w:rsidR="00AA5699" w:rsidRDefault="00000000">
    <w:pPr>
      <w:pBdr>
        <w:top w:val="nil"/>
        <w:left w:val="nil"/>
        <w:bottom w:val="nil"/>
        <w:right w:val="nil"/>
        <w:between w:val="nil"/>
      </w:pBdr>
      <w:tabs>
        <w:tab w:val="center" w:pos="4320"/>
        <w:tab w:val="right" w:pos="8640"/>
      </w:tabs>
      <w:rPr>
        <w:color w:val="000000"/>
      </w:rPr>
    </w:pPr>
    <w:r>
      <w:rPr>
        <w:noProof/>
      </w:rPr>
      <mc:AlternateContent>
        <mc:Choice Requires="wps">
          <w:drawing>
            <wp:anchor distT="0" distB="0" distL="114300" distR="114300" simplePos="0" relativeHeight="251658240" behindDoc="0" locked="0" layoutInCell="1" hidden="0" allowOverlap="1" wp14:anchorId="76B00E5B" wp14:editId="5B23B4FD">
              <wp:simplePos x="0" y="0"/>
              <wp:positionH relativeFrom="column">
                <wp:posOffset>4000500</wp:posOffset>
              </wp:positionH>
              <wp:positionV relativeFrom="paragraph">
                <wp:posOffset>393700</wp:posOffset>
              </wp:positionV>
              <wp:extent cx="2282190" cy="933450"/>
              <wp:effectExtent l="0" t="0" r="0" b="0"/>
              <wp:wrapTopAndBottom distT="0" distB="0"/>
              <wp:docPr id="11" name="Rectangle 11"/>
              <wp:cNvGraphicFramePr/>
              <a:graphic xmlns:a="http://schemas.openxmlformats.org/drawingml/2006/main">
                <a:graphicData uri="http://schemas.microsoft.com/office/word/2010/wordprocessingShape">
                  <wps:wsp>
                    <wps:cNvSpPr/>
                    <wps:spPr>
                      <a:xfrm>
                        <a:off x="4214430" y="3322800"/>
                        <a:ext cx="2263140" cy="914400"/>
                      </a:xfrm>
                      <a:prstGeom prst="rect">
                        <a:avLst/>
                      </a:prstGeom>
                      <a:noFill/>
                      <a:ln>
                        <a:noFill/>
                      </a:ln>
                    </wps:spPr>
                    <wps:txbx>
                      <w:txbxContent>
                        <w:p w14:paraId="5682751A" w14:textId="77777777" w:rsidR="00AA5699" w:rsidRDefault="00000000">
                          <w:pPr>
                            <w:spacing w:after="20"/>
                            <w:ind w:right="12"/>
                            <w:textDirection w:val="btLr"/>
                          </w:pPr>
                          <w:r>
                            <w:rPr>
                              <w:rFonts w:ascii="Times New Roman" w:eastAsia="Times New Roman" w:hAnsi="Times New Roman" w:cs="Times New Roman"/>
                              <w:color w:val="000000"/>
                              <w:sz w:val="16"/>
                            </w:rPr>
                            <w:t>Agricultural Nutrient Management Program</w:t>
                          </w:r>
                        </w:p>
                        <w:p w14:paraId="65D34CCC" w14:textId="77777777" w:rsidR="00AA5699" w:rsidRDefault="00000000">
                          <w:pPr>
                            <w:spacing w:after="20"/>
                            <w:ind w:right="12"/>
                            <w:textDirection w:val="btLr"/>
                          </w:pPr>
                          <w:r>
                            <w:rPr>
                              <w:rFonts w:ascii="Times New Roman" w:eastAsia="Times New Roman" w:hAnsi="Times New Roman" w:cs="Times New Roman"/>
                              <w:color w:val="000000"/>
                              <w:sz w:val="16"/>
                            </w:rPr>
                            <w:t>Department of Environmental Science and Technology</w:t>
                          </w:r>
                        </w:p>
                        <w:p w14:paraId="76360C97" w14:textId="77777777" w:rsidR="00AA5699" w:rsidRDefault="00000000">
                          <w:pPr>
                            <w:spacing w:after="20"/>
                            <w:ind w:right="12"/>
                            <w:textDirection w:val="btLr"/>
                          </w:pPr>
                          <w:r>
                            <w:rPr>
                              <w:rFonts w:ascii="Times New Roman" w:eastAsia="Times New Roman" w:hAnsi="Times New Roman" w:cs="Times New Roman"/>
                              <w:color w:val="000000"/>
                              <w:sz w:val="16"/>
                            </w:rPr>
                            <w:t>0116 Symons Hall</w:t>
                          </w:r>
                          <w:r>
                            <w:rPr>
                              <w:rFonts w:ascii="Times New Roman" w:eastAsia="Times New Roman" w:hAnsi="Times New Roman" w:cs="Times New Roman"/>
                              <w:color w:val="000000"/>
                              <w:sz w:val="16"/>
                            </w:rPr>
                            <w:br/>
                            <w:t>7998 Regents Dr.</w:t>
                          </w:r>
                        </w:p>
                        <w:p w14:paraId="128DFEEF" w14:textId="77777777" w:rsidR="00AA5699" w:rsidRDefault="00000000">
                          <w:pPr>
                            <w:spacing w:after="20"/>
                            <w:ind w:right="12"/>
                            <w:textDirection w:val="btLr"/>
                          </w:pPr>
                          <w:r>
                            <w:rPr>
                              <w:rFonts w:ascii="Times New Roman" w:eastAsia="Times New Roman" w:hAnsi="Times New Roman" w:cs="Times New Roman"/>
                              <w:color w:val="000000"/>
                              <w:sz w:val="16"/>
                            </w:rPr>
                            <w:t>College Park, MD 20742</w:t>
                          </w:r>
                        </w:p>
                        <w:p w14:paraId="6C79D6E3" w14:textId="77777777" w:rsidR="00AA5699" w:rsidRDefault="00000000">
                          <w:pPr>
                            <w:spacing w:after="20"/>
                            <w:ind w:right="12"/>
                            <w:textDirection w:val="btLr"/>
                          </w:pPr>
                          <w:r>
                            <w:rPr>
                              <w:rFonts w:ascii="Times New Roman" w:eastAsia="Times New Roman" w:hAnsi="Times New Roman" w:cs="Times New Roman"/>
                              <w:color w:val="000000"/>
                              <w:sz w:val="16"/>
                            </w:rPr>
                            <w:t>TEL 301-405-1319 | FAX 301-314-7375</w:t>
                          </w:r>
                        </w:p>
                        <w:p w14:paraId="1935A7EC" w14:textId="77777777" w:rsidR="00AA5699" w:rsidRDefault="00000000">
                          <w:pPr>
                            <w:spacing w:after="20"/>
                            <w:ind w:right="12"/>
                            <w:textDirection w:val="btLr"/>
                          </w:pPr>
                          <w:r>
                            <w:rPr>
                              <w:rFonts w:ascii="Times New Roman" w:eastAsia="Times New Roman" w:hAnsi="Times New Roman" w:cs="Times New Roman"/>
                              <w:color w:val="000000"/>
                              <w:sz w:val="16"/>
                            </w:rPr>
                            <w:t>www.extension.umd.edu/anmp</w:t>
                          </w:r>
                        </w:p>
                        <w:p w14:paraId="3A77BA1D" w14:textId="77777777" w:rsidR="00AA5699" w:rsidRDefault="00AA5699">
                          <w:pPr>
                            <w:ind w:right="12"/>
                            <w:textDirection w:val="btLr"/>
                          </w:pPr>
                        </w:p>
                      </w:txbxContent>
                    </wps:txbx>
                    <wps:bodyPr spcFirstLastPara="1" wrap="square" lIns="0" tIns="0" rIns="0" bIns="0" anchor="t" anchorCtr="0">
                      <a:noAutofit/>
                    </wps:bodyPr>
                  </wps:wsp>
                </a:graphicData>
              </a:graphic>
            </wp:anchor>
          </w:drawing>
        </mc:Choice>
        <mc:Fallback>
          <w:pict>
            <v:rect w14:anchorId="76B00E5B" id="Rectangle 11" o:spid="_x0000_s1026" style="position:absolute;margin-left:315pt;margin-top:31pt;width:179.7pt;height:7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" filled="f" stroked="f">
              <v:textbox inset="0,0,0,0">
                <w:txbxContent>
                  <w:p w14:paraId="5682751A" w14:textId="77777777" w:rsidR="00AA5699" w:rsidRDefault="00000000">
                    <w:pPr>
                      <w:spacing w:after="20"/>
                      <w:ind w:right="12"/>
                      <w:textDirection w:val="btLr"/>
                    </w:pPr>
                    <w:r>
                      <w:rPr>
                        <w:rFonts w:ascii="Times New Roman" w:eastAsia="Times New Roman" w:hAnsi="Times New Roman" w:cs="Times New Roman"/>
                        <w:color w:val="000000"/>
                        <w:sz w:val="16"/>
                      </w:rPr>
                      <w:t>Agricultural Nutrient Management Program</w:t>
                    </w:r>
                  </w:p>
                  <w:p w14:paraId="65D34CCC" w14:textId="77777777" w:rsidR="00AA5699" w:rsidRDefault="00000000">
                    <w:pPr>
                      <w:spacing w:after="20"/>
                      <w:ind w:right="12"/>
                      <w:textDirection w:val="btLr"/>
                    </w:pPr>
                    <w:r>
                      <w:rPr>
                        <w:rFonts w:ascii="Times New Roman" w:eastAsia="Times New Roman" w:hAnsi="Times New Roman" w:cs="Times New Roman"/>
                        <w:color w:val="000000"/>
                        <w:sz w:val="16"/>
                      </w:rPr>
                      <w:t>Department of Environmental Science and Technology</w:t>
                    </w:r>
                  </w:p>
                  <w:p w14:paraId="76360C97" w14:textId="77777777" w:rsidR="00AA5699" w:rsidRDefault="00000000">
                    <w:pPr>
                      <w:spacing w:after="20"/>
                      <w:ind w:right="12"/>
                      <w:textDirection w:val="btLr"/>
                    </w:pPr>
                    <w:r>
                      <w:rPr>
                        <w:rFonts w:ascii="Times New Roman" w:eastAsia="Times New Roman" w:hAnsi="Times New Roman" w:cs="Times New Roman"/>
                        <w:color w:val="000000"/>
                        <w:sz w:val="16"/>
                      </w:rPr>
                      <w:t>0116 Symons Hall</w:t>
                    </w:r>
                    <w:r>
                      <w:rPr>
                        <w:rFonts w:ascii="Times New Roman" w:eastAsia="Times New Roman" w:hAnsi="Times New Roman" w:cs="Times New Roman"/>
                        <w:color w:val="000000"/>
                        <w:sz w:val="16"/>
                      </w:rPr>
                      <w:br/>
                      <w:t>7998 Regents Dr.</w:t>
                    </w:r>
                  </w:p>
                  <w:p w14:paraId="128DFEEF" w14:textId="77777777" w:rsidR="00AA5699" w:rsidRDefault="00000000">
                    <w:pPr>
                      <w:spacing w:after="20"/>
                      <w:ind w:right="12"/>
                      <w:textDirection w:val="btLr"/>
                    </w:pPr>
                    <w:r>
                      <w:rPr>
                        <w:rFonts w:ascii="Times New Roman" w:eastAsia="Times New Roman" w:hAnsi="Times New Roman" w:cs="Times New Roman"/>
                        <w:color w:val="000000"/>
                        <w:sz w:val="16"/>
                      </w:rPr>
                      <w:t>College Park, MD 20742</w:t>
                    </w:r>
                  </w:p>
                  <w:p w14:paraId="6C79D6E3" w14:textId="77777777" w:rsidR="00AA5699" w:rsidRDefault="00000000">
                    <w:pPr>
                      <w:spacing w:after="20"/>
                      <w:ind w:right="12"/>
                      <w:textDirection w:val="btLr"/>
                    </w:pPr>
                    <w:r>
                      <w:rPr>
                        <w:rFonts w:ascii="Times New Roman" w:eastAsia="Times New Roman" w:hAnsi="Times New Roman" w:cs="Times New Roman"/>
                        <w:color w:val="000000"/>
                        <w:sz w:val="16"/>
                      </w:rPr>
                      <w:t>TEL 301-405-1319 | FAX 301-314-7375</w:t>
                    </w:r>
                  </w:p>
                  <w:p w14:paraId="1935A7EC" w14:textId="77777777" w:rsidR="00AA5699" w:rsidRDefault="00000000">
                    <w:pPr>
                      <w:spacing w:after="20"/>
                      <w:ind w:right="12"/>
                      <w:textDirection w:val="btLr"/>
                    </w:pPr>
                    <w:r>
                      <w:rPr>
                        <w:rFonts w:ascii="Times New Roman" w:eastAsia="Times New Roman" w:hAnsi="Times New Roman" w:cs="Times New Roman"/>
                        <w:color w:val="000000"/>
                        <w:sz w:val="16"/>
                      </w:rPr>
                      <w:t>www.extension.umd.edu/anmp</w:t>
                    </w:r>
                  </w:p>
                  <w:p w14:paraId="3A77BA1D" w14:textId="77777777" w:rsidR="00AA5699" w:rsidRDefault="00AA5699">
                    <w:pPr>
                      <w:ind w:right="12"/>
                      <w:textDirection w:val="btLr"/>
                    </w:pPr>
                  </w:p>
                </w:txbxContent>
              </v:textbox>
              <w10:wrap type="topAndBottom"/>
            </v:rect>
          </w:pict>
        </mc:Fallback>
      </mc:AlternateContent>
    </w:r>
    <w:r>
      <w:rPr>
        <w:noProof/>
      </w:rPr>
      <w:drawing>
        <wp:anchor distT="0" distB="0" distL="114300" distR="114300" simplePos="0" relativeHeight="251659264" behindDoc="0" locked="0" layoutInCell="1" hidden="0" allowOverlap="1" wp14:anchorId="03E33889" wp14:editId="3EFCA574">
          <wp:simplePos x="0" y="0"/>
          <wp:positionH relativeFrom="column">
            <wp:posOffset>-245108</wp:posOffset>
          </wp:positionH>
          <wp:positionV relativeFrom="paragraph">
            <wp:posOffset>-192403</wp:posOffset>
          </wp:positionV>
          <wp:extent cx="3302000" cy="804545"/>
          <wp:effectExtent l="0" t="0" r="0" b="0"/>
          <wp:wrapNone/>
          <wp:docPr id="12" name="image1.jpg" descr="final_UMD_extension_wordmark_pms_Nutrient_Management"/>
          <wp:cNvGraphicFramePr/>
          <a:graphic xmlns:a="http://schemas.openxmlformats.org/drawingml/2006/main">
            <a:graphicData uri="http://schemas.openxmlformats.org/drawingml/2006/picture">
              <pic:pic xmlns:pic="http://schemas.openxmlformats.org/drawingml/2006/picture">
                <pic:nvPicPr>
                  <pic:cNvPr id="0" name="image1.jpg" descr="final_UMD_extension_wordmark_pms_Nutrient_Management"/>
                  <pic:cNvPicPr preferRelativeResize="0"/>
                </pic:nvPicPr>
                <pic:blipFill>
                  <a:blip r:embed="rId1"/>
                  <a:srcRect/>
                  <a:stretch>
                    <a:fillRect/>
                  </a:stretch>
                </pic:blipFill>
                <pic:spPr>
                  <a:xfrm>
                    <a:off x="0" y="0"/>
                    <a:ext cx="3302000" cy="80454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699"/>
    <w:rsid w:val="002540C5"/>
    <w:rsid w:val="002638A0"/>
    <w:rsid w:val="00AA5699"/>
    <w:rsid w:val="00FC6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BCC33"/>
  <w15:docId w15:val="{A8AA881E-60DD-4E9B-8FBF-C767D858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Bembo" w:hAnsi="Bembo"/>
      <w:i/>
      <w:sz w:val="16"/>
    </w:rPr>
  </w:style>
  <w:style w:type="paragraph" w:styleId="Heading2">
    <w:name w:val="heading 2"/>
    <w:basedOn w:val="Normal"/>
    <w:next w:val="Normal"/>
    <w:link w:val="Heading2Char"/>
    <w:uiPriority w:val="9"/>
    <w:semiHidden/>
    <w:unhideWhenUsed/>
    <w:qFormat/>
    <w:rsid w:val="00341AD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rPr>
      <w:rFonts w:ascii="Bembo" w:hAnsi="Bembo"/>
      <w:sz w:val="16"/>
    </w:rPr>
  </w:style>
  <w:style w:type="paragraph" w:styleId="Header">
    <w:name w:val="header"/>
    <w:basedOn w:val="Normal"/>
    <w:rsid w:val="00861847"/>
    <w:pPr>
      <w:tabs>
        <w:tab w:val="center" w:pos="4320"/>
        <w:tab w:val="right" w:pos="8640"/>
      </w:tabs>
    </w:pPr>
  </w:style>
  <w:style w:type="paragraph" w:styleId="Footer">
    <w:name w:val="footer"/>
    <w:basedOn w:val="Normal"/>
    <w:semiHidden/>
    <w:rsid w:val="00861847"/>
    <w:pPr>
      <w:tabs>
        <w:tab w:val="center" w:pos="4320"/>
        <w:tab w:val="right" w:pos="8640"/>
      </w:tabs>
    </w:pPr>
  </w:style>
  <w:style w:type="paragraph" w:styleId="BalloonText">
    <w:name w:val="Balloon Text"/>
    <w:basedOn w:val="Normal"/>
    <w:link w:val="BalloonTextChar"/>
    <w:uiPriority w:val="99"/>
    <w:semiHidden/>
    <w:unhideWhenUsed/>
    <w:rsid w:val="00EB6D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D48"/>
    <w:rPr>
      <w:rFonts w:ascii="Segoe UI" w:hAnsi="Segoe UI" w:cs="Segoe UI"/>
      <w:sz w:val="18"/>
      <w:szCs w:val="18"/>
    </w:rPr>
  </w:style>
  <w:style w:type="paragraph" w:customStyle="1" w:styleId="Style1">
    <w:name w:val="Style1"/>
    <w:basedOn w:val="Heading2"/>
    <w:link w:val="Style1Char"/>
    <w:qFormat/>
    <w:rsid w:val="00341ADF"/>
    <w:pPr>
      <w:contextualSpacing/>
    </w:pPr>
    <w:rPr>
      <w:rFonts w:ascii="Times New Roman" w:hAnsi="Times New Roman"/>
      <w:b/>
      <w:color w:val="0070C0"/>
      <w:sz w:val="24"/>
    </w:rPr>
  </w:style>
  <w:style w:type="character" w:customStyle="1" w:styleId="Heading2Char">
    <w:name w:val="Heading 2 Char"/>
    <w:basedOn w:val="DefaultParagraphFont"/>
    <w:link w:val="Heading2"/>
    <w:uiPriority w:val="9"/>
    <w:semiHidden/>
    <w:rsid w:val="00341ADF"/>
    <w:rPr>
      <w:rFonts w:asciiTheme="majorHAnsi" w:eastAsiaTheme="majorEastAsia" w:hAnsiTheme="majorHAnsi" w:cstheme="majorBidi"/>
      <w:color w:val="365F91" w:themeColor="accent1" w:themeShade="BF"/>
      <w:sz w:val="26"/>
      <w:szCs w:val="26"/>
    </w:rPr>
  </w:style>
  <w:style w:type="character" w:customStyle="1" w:styleId="Style1Char">
    <w:name w:val="Style1 Char"/>
    <w:basedOn w:val="Heading2Char"/>
    <w:link w:val="Style1"/>
    <w:rsid w:val="00341ADF"/>
    <w:rPr>
      <w:rFonts w:ascii="Times New Roman" w:eastAsiaTheme="majorEastAsia" w:hAnsi="Times New Roman" w:cstheme="majorBidi"/>
      <w:b/>
      <w:color w:val="0070C0"/>
      <w:sz w:val="24"/>
      <w:szCs w:val="26"/>
    </w:rPr>
  </w:style>
  <w:style w:type="table" w:styleId="TableGrid">
    <w:name w:val="Table Grid"/>
    <w:basedOn w:val="TableNormal"/>
    <w:uiPriority w:val="59"/>
    <w:rsid w:val="00416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Ulh78+J9bFTU8E93QIWfheu9Uw==">CgMxLjAyCGguZ2pkZ3hzOAByITFJemVydjBWcUJhS0ZVdUpNZ3FlcXFLN3NzcmcwbjNmRw==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910</Words>
  <Characters>5192</Characters>
  <Application>Microsoft Office Word</Application>
  <DocSecurity>0</DocSecurity>
  <Lines>43</Lines>
  <Paragraphs>12</Paragraphs>
  <ScaleCrop>false</ScaleCrop>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Clark</dc:creator>
  <cp:lastModifiedBy>Mahdia Haque</cp:lastModifiedBy>
  <cp:revision>2</cp:revision>
  <dcterms:created xsi:type="dcterms:W3CDTF">2025-03-27T15:12:00Z</dcterms:created>
  <dcterms:modified xsi:type="dcterms:W3CDTF">2025-03-27T15:12:00Z</dcterms:modified>
</cp:coreProperties>
</file>